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2002" w14:textId="2A670249" w:rsidR="00F17715" w:rsidRPr="00373E00" w:rsidRDefault="00373E00" w:rsidP="00373E00">
      <w:pPr>
        <w:jc w:val="center"/>
        <w:rPr>
          <w:b/>
          <w:bCs/>
          <w:lang w:val="es-ES"/>
        </w:rPr>
      </w:pPr>
      <w:r w:rsidRPr="00373E00">
        <w:rPr>
          <w:b/>
          <w:bCs/>
          <w:lang w:val="es-ES"/>
        </w:rPr>
        <w:t>Ficha Caracterización de Buenas Prácticas en Equidad de Género en el Sector Empresarial Antioqueño</w:t>
      </w:r>
    </w:p>
    <w:p w14:paraId="4CCF66B0" w14:textId="4BA3424E" w:rsidR="00373E00" w:rsidRDefault="00373E00" w:rsidP="00373E00">
      <w:pPr>
        <w:jc w:val="center"/>
        <w:rPr>
          <w:lang w:val="es-ES"/>
        </w:rPr>
      </w:pPr>
    </w:p>
    <w:tbl>
      <w:tblPr>
        <w:tblW w:w="9442" w:type="dxa"/>
        <w:jc w:val="center"/>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119"/>
        <w:gridCol w:w="6323"/>
      </w:tblGrid>
      <w:tr w:rsidR="00373E00" w:rsidRPr="00373E00" w14:paraId="24697061" w14:textId="77777777" w:rsidTr="00357BF3">
        <w:trPr>
          <w:trHeight w:val="526"/>
          <w:jc w:val="center"/>
        </w:trPr>
        <w:tc>
          <w:tcPr>
            <w:tcW w:w="9442" w:type="dxa"/>
            <w:gridSpan w:val="2"/>
            <w:shd w:val="clear" w:color="auto" w:fill="4F81BD"/>
            <w:vAlign w:val="center"/>
          </w:tcPr>
          <w:p w14:paraId="77FF9E51" w14:textId="67C0399F" w:rsidR="00373E00" w:rsidRPr="00373E00" w:rsidRDefault="00373E00" w:rsidP="00357BF3">
            <w:pPr>
              <w:jc w:val="center"/>
              <w:rPr>
                <w:b/>
              </w:rPr>
            </w:pPr>
            <w:r w:rsidRPr="00373E00">
              <w:rPr>
                <w:b/>
                <w:color w:val="FFFFFF" w:themeColor="background1"/>
              </w:rPr>
              <w:t>CARACTERIZACIÓN DE LA EMPRESA</w:t>
            </w:r>
          </w:p>
        </w:tc>
      </w:tr>
      <w:tr w:rsidR="003241A6" w:rsidRPr="00373E00" w14:paraId="008CF359"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7C0902E4" w14:textId="2F31C394" w:rsidR="003241A6" w:rsidRPr="00373E00" w:rsidRDefault="003241A6" w:rsidP="003241A6">
            <w:pPr>
              <w:jc w:val="center"/>
              <w:rPr>
                <w:b/>
              </w:rPr>
            </w:pPr>
            <w:r>
              <w:rPr>
                <w:b/>
              </w:rPr>
              <w:t>Nombre de la Empresa</w:t>
            </w:r>
          </w:p>
        </w:tc>
        <w:tc>
          <w:tcPr>
            <w:tcW w:w="6323" w:type="dxa"/>
            <w:tcBorders>
              <w:top w:val="single" w:sz="8" w:space="0" w:color="4F81BD"/>
              <w:left w:val="single" w:sz="4" w:space="0" w:color="4F81BD"/>
              <w:bottom w:val="single" w:sz="8" w:space="0" w:color="4F81BD"/>
              <w:right w:val="single" w:sz="8" w:space="0" w:color="4F81BD"/>
            </w:tcBorders>
          </w:tcPr>
          <w:p w14:paraId="00C0D3E0" w14:textId="2328CC40" w:rsidR="003241A6" w:rsidRPr="00373E00" w:rsidRDefault="003241A6" w:rsidP="003241A6">
            <w:pPr>
              <w:jc w:val="center"/>
              <w:rPr>
                <w:bCs/>
              </w:rPr>
            </w:pPr>
            <w:r>
              <w:rPr>
                <w:bCs/>
              </w:rPr>
              <w:t>Comfama</w:t>
            </w:r>
          </w:p>
        </w:tc>
      </w:tr>
      <w:tr w:rsidR="003241A6" w:rsidRPr="00373E00" w14:paraId="5966A051" w14:textId="77777777" w:rsidTr="00AF67D4">
        <w:trPr>
          <w:jc w:val="center"/>
        </w:trPr>
        <w:tc>
          <w:tcPr>
            <w:tcW w:w="3119" w:type="dxa"/>
            <w:tcBorders>
              <w:bottom w:val="single" w:sz="4" w:space="0" w:color="4F81BD"/>
              <w:right w:val="single" w:sz="4" w:space="0" w:color="4F81BD"/>
            </w:tcBorders>
          </w:tcPr>
          <w:p w14:paraId="3A604EF0" w14:textId="30856C5D" w:rsidR="003241A6" w:rsidRPr="00373E00" w:rsidRDefault="003241A6" w:rsidP="003241A6">
            <w:pPr>
              <w:jc w:val="center"/>
              <w:rPr>
                <w:b/>
              </w:rPr>
            </w:pPr>
            <w:r>
              <w:rPr>
                <w:b/>
              </w:rPr>
              <w:t>Sector</w:t>
            </w:r>
          </w:p>
        </w:tc>
        <w:tc>
          <w:tcPr>
            <w:tcW w:w="6323" w:type="dxa"/>
            <w:tcBorders>
              <w:left w:val="single" w:sz="4" w:space="0" w:color="4F81BD"/>
              <w:bottom w:val="single" w:sz="4" w:space="0" w:color="4F81BD"/>
            </w:tcBorders>
          </w:tcPr>
          <w:p w14:paraId="1BC1159B" w14:textId="099AEAF4" w:rsidR="003241A6" w:rsidRPr="00373E00" w:rsidRDefault="003241A6" w:rsidP="003241A6">
            <w:pPr>
              <w:jc w:val="center"/>
              <w:rPr>
                <w:lang w:val="es-ES"/>
              </w:rPr>
            </w:pPr>
            <w:r>
              <w:rPr>
                <w:lang w:val="es-ES"/>
              </w:rPr>
              <w:t>Caja de compensación familiar</w:t>
            </w:r>
          </w:p>
        </w:tc>
      </w:tr>
      <w:tr w:rsidR="003241A6" w:rsidRPr="00373E00" w14:paraId="54275CF9" w14:textId="77777777" w:rsidTr="00AF67D4">
        <w:trPr>
          <w:jc w:val="center"/>
        </w:trPr>
        <w:tc>
          <w:tcPr>
            <w:tcW w:w="3119" w:type="dxa"/>
            <w:tcBorders>
              <w:top w:val="single" w:sz="4" w:space="0" w:color="4F81BD"/>
              <w:right w:val="single" w:sz="4" w:space="0" w:color="4F81BD"/>
            </w:tcBorders>
          </w:tcPr>
          <w:p w14:paraId="5121286E" w14:textId="4C27D66C" w:rsidR="003241A6" w:rsidRPr="00373E00" w:rsidRDefault="003241A6" w:rsidP="003241A6">
            <w:pPr>
              <w:jc w:val="center"/>
              <w:rPr>
                <w:b/>
              </w:rPr>
            </w:pPr>
            <w:r>
              <w:rPr>
                <w:b/>
              </w:rPr>
              <w:t>Tamaño de la Empresa</w:t>
            </w:r>
          </w:p>
        </w:tc>
        <w:tc>
          <w:tcPr>
            <w:tcW w:w="6323" w:type="dxa"/>
            <w:tcBorders>
              <w:top w:val="single" w:sz="4" w:space="0" w:color="4F81BD"/>
              <w:left w:val="single" w:sz="4" w:space="0" w:color="4F81BD"/>
            </w:tcBorders>
          </w:tcPr>
          <w:p w14:paraId="0018D81C" w14:textId="2F59CF8B" w:rsidR="003241A6" w:rsidRPr="00373E00" w:rsidRDefault="003241A6" w:rsidP="003241A6">
            <w:pPr>
              <w:jc w:val="center"/>
              <w:rPr>
                <w:bCs/>
              </w:rPr>
            </w:pPr>
            <w:r>
              <w:rPr>
                <w:bCs/>
              </w:rPr>
              <w:t>Gran empresa</w:t>
            </w:r>
          </w:p>
        </w:tc>
      </w:tr>
      <w:tr w:rsidR="003241A6" w:rsidRPr="00373E00" w14:paraId="184A167C"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05269C25" w14:textId="5E8C9F6F" w:rsidR="003241A6" w:rsidRPr="00373E00" w:rsidRDefault="003241A6" w:rsidP="003241A6">
            <w:pPr>
              <w:jc w:val="center"/>
              <w:rPr>
                <w:b/>
              </w:rPr>
            </w:pPr>
            <w:r>
              <w:rPr>
                <w:b/>
              </w:rPr>
              <w:t>Localización</w:t>
            </w:r>
          </w:p>
        </w:tc>
        <w:tc>
          <w:tcPr>
            <w:tcW w:w="6323" w:type="dxa"/>
            <w:tcBorders>
              <w:top w:val="single" w:sz="8" w:space="0" w:color="4F81BD"/>
              <w:left w:val="single" w:sz="4" w:space="0" w:color="4F81BD"/>
              <w:bottom w:val="single" w:sz="8" w:space="0" w:color="4F81BD"/>
              <w:right w:val="single" w:sz="8" w:space="0" w:color="4F81BD"/>
            </w:tcBorders>
          </w:tcPr>
          <w:p w14:paraId="3540F6D5" w14:textId="53CD5DE2" w:rsidR="003241A6" w:rsidRPr="00373E00" w:rsidRDefault="003241A6" w:rsidP="003241A6">
            <w:pPr>
              <w:jc w:val="center"/>
              <w:rPr>
                <w:lang w:val="es-ES"/>
              </w:rPr>
            </w:pPr>
            <w:r>
              <w:rPr>
                <w:lang w:val="es-ES"/>
              </w:rPr>
              <w:t>Antioquia</w:t>
            </w:r>
          </w:p>
        </w:tc>
      </w:tr>
      <w:tr w:rsidR="003241A6" w:rsidRPr="00373E00" w14:paraId="319E694D"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6D4D4300" w14:textId="38B8BE06" w:rsidR="003241A6" w:rsidRPr="00373E00" w:rsidRDefault="003241A6" w:rsidP="003241A6">
            <w:pPr>
              <w:jc w:val="center"/>
              <w:rPr>
                <w:b/>
              </w:rPr>
            </w:pPr>
            <w:r>
              <w:rPr>
                <w:b/>
              </w:rPr>
              <w:t>Total de Empleados</w:t>
            </w:r>
            <w:r w:rsidRPr="00373E00">
              <w:rPr>
                <w:b/>
              </w:rPr>
              <w:t xml:space="preserve"> </w:t>
            </w:r>
          </w:p>
        </w:tc>
        <w:tc>
          <w:tcPr>
            <w:tcW w:w="6323" w:type="dxa"/>
            <w:tcBorders>
              <w:top w:val="single" w:sz="8" w:space="0" w:color="4F81BD"/>
              <w:left w:val="single" w:sz="4" w:space="0" w:color="4F81BD"/>
              <w:bottom w:val="single" w:sz="8" w:space="0" w:color="4F81BD"/>
              <w:right w:val="single" w:sz="8" w:space="0" w:color="4F81BD"/>
            </w:tcBorders>
          </w:tcPr>
          <w:p w14:paraId="48103A6E" w14:textId="225EBA8F" w:rsidR="003241A6" w:rsidRPr="00373E00" w:rsidRDefault="003241A6" w:rsidP="003241A6">
            <w:pPr>
              <w:jc w:val="center"/>
              <w:rPr>
                <w:bCs/>
                <w:lang w:val="es-ES"/>
              </w:rPr>
            </w:pPr>
            <w:r>
              <w:rPr>
                <w:bCs/>
                <w:lang w:val="es-ES"/>
              </w:rPr>
              <w:t>4913</w:t>
            </w:r>
          </w:p>
        </w:tc>
      </w:tr>
      <w:tr w:rsidR="003241A6" w:rsidRPr="00373E00" w14:paraId="7B1B5B70" w14:textId="77777777" w:rsidTr="00AF67D4">
        <w:trPr>
          <w:trHeight w:val="420"/>
          <w:jc w:val="center"/>
        </w:trPr>
        <w:tc>
          <w:tcPr>
            <w:tcW w:w="3119" w:type="dxa"/>
            <w:tcBorders>
              <w:bottom w:val="single" w:sz="4" w:space="0" w:color="4F81BD"/>
              <w:right w:val="single" w:sz="4" w:space="0" w:color="4F81BD"/>
            </w:tcBorders>
          </w:tcPr>
          <w:p w14:paraId="4E49ABA5" w14:textId="39156E87" w:rsidR="003241A6" w:rsidRPr="00373E00" w:rsidRDefault="003241A6" w:rsidP="003241A6">
            <w:pPr>
              <w:jc w:val="center"/>
              <w:rPr>
                <w:b/>
              </w:rPr>
            </w:pPr>
            <w:r>
              <w:rPr>
                <w:b/>
              </w:rPr>
              <w:t>Porcentaje de Mujeres</w:t>
            </w:r>
          </w:p>
        </w:tc>
        <w:tc>
          <w:tcPr>
            <w:tcW w:w="6323" w:type="dxa"/>
            <w:tcBorders>
              <w:left w:val="single" w:sz="4" w:space="0" w:color="4F81BD"/>
              <w:bottom w:val="single" w:sz="4" w:space="0" w:color="4F81BD"/>
            </w:tcBorders>
          </w:tcPr>
          <w:p w14:paraId="7B4AAEA8" w14:textId="063E12AE" w:rsidR="003241A6" w:rsidRPr="00373E00" w:rsidRDefault="003241A6" w:rsidP="003241A6">
            <w:pPr>
              <w:jc w:val="center"/>
              <w:rPr>
                <w:lang w:val="es-ES"/>
              </w:rPr>
            </w:pPr>
            <w:r>
              <w:rPr>
                <w:lang w:val="es-ES"/>
              </w:rPr>
              <w:t>63%</w:t>
            </w:r>
          </w:p>
        </w:tc>
      </w:tr>
      <w:tr w:rsidR="003241A6" w:rsidRPr="00373E00" w14:paraId="0F55A734" w14:textId="77777777" w:rsidTr="00AF67D4">
        <w:trPr>
          <w:trHeight w:val="420"/>
          <w:jc w:val="center"/>
        </w:trPr>
        <w:tc>
          <w:tcPr>
            <w:tcW w:w="3119" w:type="dxa"/>
            <w:tcBorders>
              <w:bottom w:val="single" w:sz="4" w:space="0" w:color="4F81BD"/>
              <w:right w:val="single" w:sz="4" w:space="0" w:color="4F81BD"/>
            </w:tcBorders>
          </w:tcPr>
          <w:p w14:paraId="4C5407F6" w14:textId="5FCCF6F2" w:rsidR="003241A6" w:rsidRDefault="003241A6" w:rsidP="003241A6">
            <w:pPr>
              <w:jc w:val="center"/>
              <w:rPr>
                <w:b/>
              </w:rPr>
            </w:pPr>
            <w:r>
              <w:rPr>
                <w:b/>
              </w:rPr>
              <w:t>Porcentaje de Hombres</w:t>
            </w:r>
          </w:p>
        </w:tc>
        <w:tc>
          <w:tcPr>
            <w:tcW w:w="6323" w:type="dxa"/>
            <w:tcBorders>
              <w:left w:val="single" w:sz="4" w:space="0" w:color="4F81BD"/>
              <w:bottom w:val="single" w:sz="4" w:space="0" w:color="4F81BD"/>
            </w:tcBorders>
          </w:tcPr>
          <w:p w14:paraId="4EC24ECB" w14:textId="552A971A" w:rsidR="003241A6" w:rsidRPr="00373E00" w:rsidRDefault="003241A6" w:rsidP="003241A6">
            <w:pPr>
              <w:jc w:val="center"/>
              <w:rPr>
                <w:lang w:val="es-ES"/>
              </w:rPr>
            </w:pPr>
            <w:r>
              <w:rPr>
                <w:lang w:val="es-ES"/>
              </w:rPr>
              <w:t>37%</w:t>
            </w:r>
          </w:p>
        </w:tc>
      </w:tr>
      <w:tr w:rsidR="003241A6" w:rsidRPr="00373E00" w14:paraId="55D6F26D" w14:textId="77777777" w:rsidTr="00AF67D4">
        <w:trPr>
          <w:trHeight w:val="420"/>
          <w:jc w:val="center"/>
        </w:trPr>
        <w:tc>
          <w:tcPr>
            <w:tcW w:w="3119" w:type="dxa"/>
            <w:tcBorders>
              <w:bottom w:val="single" w:sz="4" w:space="0" w:color="4F81BD"/>
              <w:right w:val="single" w:sz="4" w:space="0" w:color="4F81BD"/>
            </w:tcBorders>
          </w:tcPr>
          <w:p w14:paraId="11FDE068" w14:textId="65F12E80" w:rsidR="003241A6" w:rsidRDefault="003241A6" w:rsidP="003241A6">
            <w:pPr>
              <w:jc w:val="center"/>
              <w:rPr>
                <w:b/>
              </w:rPr>
            </w:pPr>
            <w:r>
              <w:rPr>
                <w:b/>
              </w:rPr>
              <w:t>Datos de Contacto</w:t>
            </w:r>
          </w:p>
        </w:tc>
        <w:tc>
          <w:tcPr>
            <w:tcW w:w="6323" w:type="dxa"/>
            <w:tcBorders>
              <w:left w:val="single" w:sz="4" w:space="0" w:color="4F81BD"/>
              <w:bottom w:val="single" w:sz="4" w:space="0" w:color="4F81BD"/>
            </w:tcBorders>
          </w:tcPr>
          <w:p w14:paraId="7091C860" w14:textId="77777777" w:rsidR="003241A6" w:rsidRDefault="003241A6" w:rsidP="003241A6">
            <w:pPr>
              <w:jc w:val="center"/>
              <w:rPr>
                <w:lang w:val="es-ES"/>
              </w:rPr>
            </w:pPr>
            <w:r>
              <w:rPr>
                <w:lang w:val="es-ES"/>
              </w:rPr>
              <w:t xml:space="preserve">Salomé Montoya </w:t>
            </w:r>
          </w:p>
          <w:p w14:paraId="5396A8CF" w14:textId="23C10FF3" w:rsidR="003241A6" w:rsidRPr="00373E00" w:rsidRDefault="003241A6" w:rsidP="003241A6">
            <w:pPr>
              <w:jc w:val="center"/>
              <w:rPr>
                <w:lang w:val="es-ES"/>
              </w:rPr>
            </w:pPr>
            <w:r w:rsidRPr="002269FB">
              <w:rPr>
                <w:lang w:val="es-ES"/>
              </w:rPr>
              <w:t>SalomeMontoya@comfama.com.co</w:t>
            </w:r>
          </w:p>
        </w:tc>
      </w:tr>
      <w:tr w:rsidR="00373E00" w:rsidRPr="00373E00" w14:paraId="54F9C072" w14:textId="77777777" w:rsidTr="00357BF3">
        <w:trPr>
          <w:trHeight w:val="517"/>
          <w:jc w:val="center"/>
        </w:trPr>
        <w:tc>
          <w:tcPr>
            <w:tcW w:w="9442" w:type="dxa"/>
            <w:gridSpan w:val="2"/>
            <w:tcBorders>
              <w:top w:val="single" w:sz="8" w:space="0" w:color="4F81BD"/>
              <w:left w:val="single" w:sz="8" w:space="0" w:color="4F81BD"/>
              <w:bottom w:val="single" w:sz="8" w:space="0" w:color="4F81BD"/>
              <w:right w:val="single" w:sz="8" w:space="0" w:color="4F81BD"/>
            </w:tcBorders>
            <w:shd w:val="clear" w:color="auto" w:fill="4F81BD"/>
            <w:vAlign w:val="center"/>
          </w:tcPr>
          <w:p w14:paraId="1FC49E4D" w14:textId="3C782214" w:rsidR="00373E00" w:rsidRPr="00373E00" w:rsidRDefault="00373E00" w:rsidP="00357BF3">
            <w:pPr>
              <w:jc w:val="center"/>
              <w:rPr>
                <w:b/>
                <w:bCs/>
              </w:rPr>
            </w:pPr>
            <w:r w:rsidRPr="00373E00">
              <w:rPr>
                <w:b/>
                <w:bCs/>
                <w:color w:val="FFFFFF" w:themeColor="background1"/>
              </w:rPr>
              <w:t>CARACTERIZACIÓN DE LA BUENA PRÁCTICA</w:t>
            </w:r>
          </w:p>
        </w:tc>
      </w:tr>
      <w:tr w:rsidR="00373E00" w:rsidRPr="00373E00" w14:paraId="65EB9862" w14:textId="77777777" w:rsidTr="004E65B0">
        <w:trPr>
          <w:trHeight w:val="737"/>
          <w:jc w:val="center"/>
        </w:trPr>
        <w:tc>
          <w:tcPr>
            <w:tcW w:w="3119" w:type="dxa"/>
            <w:tcBorders>
              <w:bottom w:val="single" w:sz="4" w:space="0" w:color="8496B0" w:themeColor="text2" w:themeTint="99"/>
              <w:right w:val="single" w:sz="4" w:space="0" w:color="4F81BD"/>
            </w:tcBorders>
          </w:tcPr>
          <w:p w14:paraId="0C58B267" w14:textId="236B8C70" w:rsidR="00373E00" w:rsidRPr="00373E00" w:rsidRDefault="00373E00" w:rsidP="00373E00">
            <w:pPr>
              <w:jc w:val="center"/>
              <w:rPr>
                <w:b/>
              </w:rPr>
            </w:pPr>
            <w:r>
              <w:rPr>
                <w:b/>
              </w:rPr>
              <w:t>Fecha de inicio de la implementación de la buena práctica</w:t>
            </w:r>
          </w:p>
        </w:tc>
        <w:tc>
          <w:tcPr>
            <w:tcW w:w="6323" w:type="dxa"/>
            <w:tcBorders>
              <w:left w:val="single" w:sz="4" w:space="0" w:color="4F81BD"/>
              <w:bottom w:val="single" w:sz="4" w:space="0" w:color="8496B0" w:themeColor="text2" w:themeTint="99"/>
            </w:tcBorders>
            <w:vAlign w:val="center"/>
          </w:tcPr>
          <w:p w14:paraId="1EE58352" w14:textId="11C60BB1" w:rsidR="00373E00" w:rsidRPr="00E107F4" w:rsidRDefault="00F434DC" w:rsidP="004E65B0">
            <w:pPr>
              <w:jc w:val="center"/>
              <w:rPr>
                <w:bCs/>
              </w:rPr>
            </w:pPr>
            <w:r>
              <w:rPr>
                <w:bCs/>
              </w:rPr>
              <w:t>2019</w:t>
            </w:r>
          </w:p>
        </w:tc>
      </w:tr>
      <w:tr w:rsidR="00373E00" w:rsidRPr="00373E00" w14:paraId="790D7C14" w14:textId="77777777" w:rsidTr="00AF67D4">
        <w:trPr>
          <w:jc w:val="center"/>
        </w:trPr>
        <w:tc>
          <w:tcPr>
            <w:tcW w:w="3119" w:type="dxa"/>
            <w:tcBorders>
              <w:top w:val="single" w:sz="4" w:space="0" w:color="8496B0" w:themeColor="text2" w:themeTint="99"/>
              <w:left w:val="single" w:sz="8" w:space="0" w:color="4F81BD"/>
              <w:bottom w:val="single" w:sz="8" w:space="0" w:color="4F81BD"/>
              <w:right w:val="single" w:sz="4" w:space="0" w:color="4F81BD"/>
            </w:tcBorders>
          </w:tcPr>
          <w:p w14:paraId="1A41DF44" w14:textId="62FAC529" w:rsidR="00373E00" w:rsidRPr="00373E00" w:rsidRDefault="00373E00" w:rsidP="00373E00">
            <w:pPr>
              <w:jc w:val="center"/>
              <w:rPr>
                <w:b/>
              </w:rPr>
            </w:pPr>
            <w:r>
              <w:rPr>
                <w:b/>
              </w:rPr>
              <w:t>Nombre de la Buena Práctica</w:t>
            </w:r>
          </w:p>
        </w:tc>
        <w:tc>
          <w:tcPr>
            <w:tcW w:w="6323" w:type="dxa"/>
            <w:tcBorders>
              <w:top w:val="single" w:sz="4" w:space="0" w:color="8496B0" w:themeColor="text2" w:themeTint="99"/>
              <w:left w:val="single" w:sz="4" w:space="0" w:color="4F81BD"/>
              <w:bottom w:val="single" w:sz="8" w:space="0" w:color="4F81BD"/>
              <w:right w:val="single" w:sz="8" w:space="0" w:color="4F81BD"/>
            </w:tcBorders>
          </w:tcPr>
          <w:p w14:paraId="6C1EEA40" w14:textId="7EB6C4B7" w:rsidR="00373E00" w:rsidRPr="00373E00" w:rsidRDefault="00931122" w:rsidP="00373E00">
            <w:pPr>
              <w:jc w:val="center"/>
              <w:rPr>
                <w:bCs/>
              </w:rPr>
            </w:pPr>
            <w:r>
              <w:rPr>
                <w:rFonts w:eastAsia="Times New Roman"/>
                <w:color w:val="201F1E"/>
                <w:lang w:eastAsia="es-ES"/>
              </w:rPr>
              <w:t>Ampliación de licencias de paternidad y maternidad</w:t>
            </w:r>
          </w:p>
        </w:tc>
      </w:tr>
      <w:tr w:rsidR="00373E00" w:rsidRPr="00373E00" w14:paraId="1F5E5525" w14:textId="77777777" w:rsidTr="00AF67D4">
        <w:trPr>
          <w:jc w:val="center"/>
        </w:trPr>
        <w:tc>
          <w:tcPr>
            <w:tcW w:w="3119" w:type="dxa"/>
            <w:tcBorders>
              <w:right w:val="single" w:sz="4" w:space="0" w:color="4F81BD"/>
            </w:tcBorders>
          </w:tcPr>
          <w:p w14:paraId="155DFB96" w14:textId="2706B120" w:rsidR="00373E00" w:rsidRPr="00373E00" w:rsidRDefault="00373E00" w:rsidP="00373E00">
            <w:pPr>
              <w:jc w:val="center"/>
              <w:rPr>
                <w:b/>
              </w:rPr>
            </w:pPr>
            <w:r>
              <w:rPr>
                <w:b/>
              </w:rPr>
              <w:t>Problema o necesidad que se intervino</w:t>
            </w:r>
          </w:p>
        </w:tc>
        <w:tc>
          <w:tcPr>
            <w:tcW w:w="6323" w:type="dxa"/>
            <w:tcBorders>
              <w:left w:val="single" w:sz="4" w:space="0" w:color="4F81BD"/>
            </w:tcBorders>
          </w:tcPr>
          <w:p w14:paraId="57E9E07C" w14:textId="77777777" w:rsidR="0080693A" w:rsidRDefault="00A06190" w:rsidP="00871AE9">
            <w:pPr>
              <w:jc w:val="both"/>
              <w:rPr>
                <w:bCs/>
              </w:rPr>
            </w:pPr>
            <w:r>
              <w:rPr>
                <w:bCs/>
              </w:rPr>
              <w:t>I</w:t>
            </w:r>
            <w:r w:rsidRPr="00A06190">
              <w:rPr>
                <w:bCs/>
              </w:rPr>
              <w:t>dentificamos unas dimensiones de oportunidad: promoción y desarrollo, atracción, cultura y relaciones laborales</w:t>
            </w:r>
            <w:r>
              <w:rPr>
                <w:bCs/>
              </w:rPr>
              <w:t xml:space="preserve">, por lo que todas las iniciativas en materia de equidad de género de Comfama </w:t>
            </w:r>
            <w:r w:rsidRPr="00A06190">
              <w:rPr>
                <w:bCs/>
              </w:rPr>
              <w:t>corresponde</w:t>
            </w:r>
            <w:r>
              <w:rPr>
                <w:bCs/>
              </w:rPr>
              <w:t>n</w:t>
            </w:r>
            <w:r w:rsidRPr="00A06190">
              <w:rPr>
                <w:bCs/>
              </w:rPr>
              <w:t xml:space="preserve"> a los resultados de brechas identificados en el autodiagnóstico de diversidad e inclusión.</w:t>
            </w:r>
            <w:r>
              <w:rPr>
                <w:bCs/>
              </w:rPr>
              <w:t xml:space="preserve"> </w:t>
            </w:r>
            <w:r w:rsidR="0020546A">
              <w:rPr>
                <w:bCs/>
              </w:rPr>
              <w:t xml:space="preserve">En concreto, la extensión de licencias de paternidad y maternidad busca confrontar las </w:t>
            </w:r>
            <w:r w:rsidR="0020546A" w:rsidRPr="0020546A">
              <w:rPr>
                <w:bCs/>
              </w:rPr>
              <w:t xml:space="preserve">bajas oportunidades de conciliación y equilibrio </w:t>
            </w:r>
            <w:r w:rsidR="0020546A">
              <w:rPr>
                <w:bCs/>
              </w:rPr>
              <w:t>entre</w:t>
            </w:r>
            <w:r w:rsidR="0020546A" w:rsidRPr="0020546A">
              <w:rPr>
                <w:bCs/>
              </w:rPr>
              <w:t xml:space="preserve"> la vida de cuidado familiar y </w:t>
            </w:r>
            <w:r w:rsidR="0020546A">
              <w:rPr>
                <w:bCs/>
              </w:rPr>
              <w:t xml:space="preserve">la vida </w:t>
            </w:r>
            <w:r w:rsidR="0020546A" w:rsidRPr="0020546A">
              <w:rPr>
                <w:bCs/>
              </w:rPr>
              <w:t>laboral</w:t>
            </w:r>
            <w:r w:rsidR="0020546A">
              <w:rPr>
                <w:bCs/>
              </w:rPr>
              <w:t xml:space="preserve">, tanto de hombre como mujeres, entendiendo que el cuidado de los niños y niñas es un asunto de padres y madres, </w:t>
            </w:r>
            <w:r w:rsidR="00C11EF3">
              <w:rPr>
                <w:bCs/>
              </w:rPr>
              <w:t xml:space="preserve">donde ambos deben y tienen el derecho de involucrarse. </w:t>
            </w:r>
          </w:p>
          <w:p w14:paraId="518967C2" w14:textId="6D325326" w:rsidR="002F7FAA" w:rsidRPr="00E107F4" w:rsidRDefault="00F53C54" w:rsidP="00871AE9">
            <w:pPr>
              <w:jc w:val="both"/>
              <w:rPr>
                <w:bCs/>
              </w:rPr>
            </w:pPr>
            <w:r>
              <w:rPr>
                <w:bCs/>
              </w:rPr>
              <w:t xml:space="preserve">Esto parte del reconocimiento de que </w:t>
            </w:r>
            <w:r w:rsidRPr="00F53C54">
              <w:rPr>
                <w:bCs/>
              </w:rPr>
              <w:t>la llegada de un hijo es un acontecimiento que transforma el mundo de cada familia</w:t>
            </w:r>
            <w:r>
              <w:rPr>
                <w:bCs/>
              </w:rPr>
              <w:t xml:space="preserve">, por lo que es importante </w:t>
            </w:r>
            <w:r w:rsidR="00436960" w:rsidRPr="00436960">
              <w:rPr>
                <w:bCs/>
              </w:rPr>
              <w:t>promover la corresponsabilidad de género y brindar oportunidades equitativas</w:t>
            </w:r>
            <w:r w:rsidR="00436960">
              <w:rPr>
                <w:bCs/>
              </w:rPr>
              <w:t>.</w:t>
            </w:r>
          </w:p>
        </w:tc>
      </w:tr>
      <w:tr w:rsidR="00373E00" w:rsidRPr="00373E00" w14:paraId="4231F31E"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7D5E02E2" w14:textId="40DFA3A2" w:rsidR="00373E00" w:rsidRPr="00373E00" w:rsidRDefault="00373E00" w:rsidP="00373E00">
            <w:pPr>
              <w:jc w:val="center"/>
              <w:rPr>
                <w:b/>
              </w:rPr>
            </w:pPr>
            <w:r>
              <w:rPr>
                <w:b/>
              </w:rPr>
              <w:t>Antecedentes: ¿Cómo inició?</w:t>
            </w:r>
          </w:p>
        </w:tc>
        <w:tc>
          <w:tcPr>
            <w:tcW w:w="6323" w:type="dxa"/>
            <w:tcBorders>
              <w:top w:val="single" w:sz="8" w:space="0" w:color="4F81BD"/>
              <w:left w:val="single" w:sz="4" w:space="0" w:color="4F81BD"/>
              <w:bottom w:val="single" w:sz="8" w:space="0" w:color="4F81BD"/>
              <w:right w:val="single" w:sz="8" w:space="0" w:color="4F81BD"/>
            </w:tcBorders>
          </w:tcPr>
          <w:p w14:paraId="1AA189D8" w14:textId="279CB781" w:rsidR="00C530E7" w:rsidRPr="00373E00" w:rsidRDefault="00953E5F" w:rsidP="00871AE9">
            <w:pPr>
              <w:jc w:val="both"/>
              <w:rPr>
                <w:bCs/>
              </w:rPr>
            </w:pPr>
            <w:r>
              <w:rPr>
                <w:bCs/>
              </w:rPr>
              <w:t>Esta estrategia surge como consecuencia de los resultados arrojados por el autodiagnóstico realizado en la empresa, así como los grupos focales y ejercicios controlados. Así, se evidencias la importancia de, primero,</w:t>
            </w:r>
            <w:r w:rsidR="00443063" w:rsidRPr="00E96423">
              <w:rPr>
                <w:bCs/>
              </w:rPr>
              <w:t xml:space="preserve"> promover la paternidad corresponsable como un asunto importante en la calidad de </w:t>
            </w:r>
            <w:r w:rsidR="00443063" w:rsidRPr="00E96423">
              <w:rPr>
                <w:bCs/>
              </w:rPr>
              <w:lastRenderedPageBreak/>
              <w:t>vida de las familias, así como reducir las brechas en las relaciones de cuidado y crianza de los hijos en el entorno familiar.</w:t>
            </w:r>
            <w:r>
              <w:rPr>
                <w:bCs/>
              </w:rPr>
              <w:t xml:space="preserve"> En segundo lugar, se hace evidente la importancia de brindar herramientas para que las madres y padres puedan tener en equilibrio su vida familiar, personal y </w:t>
            </w:r>
            <w:r w:rsidR="00A0275B">
              <w:rPr>
                <w:bCs/>
              </w:rPr>
              <w:t xml:space="preserve">laboral, pues esta es una de las causas principales por las que las mujeres salen del mercado laboral. </w:t>
            </w:r>
          </w:p>
        </w:tc>
      </w:tr>
      <w:tr w:rsidR="00373E00" w:rsidRPr="00373E00" w14:paraId="2007EFDE"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6A9F4A91" w14:textId="04ECD022" w:rsidR="00373E00" w:rsidRPr="00373E00" w:rsidRDefault="00373E00" w:rsidP="00373E00">
            <w:pPr>
              <w:jc w:val="center"/>
              <w:rPr>
                <w:b/>
              </w:rPr>
            </w:pPr>
            <w:r>
              <w:rPr>
                <w:b/>
              </w:rPr>
              <w:lastRenderedPageBreak/>
              <w:t>Descripción de la buena práctica ¿En qué consiste?</w:t>
            </w:r>
          </w:p>
        </w:tc>
        <w:tc>
          <w:tcPr>
            <w:tcW w:w="6323" w:type="dxa"/>
            <w:tcBorders>
              <w:top w:val="single" w:sz="8" w:space="0" w:color="4F81BD"/>
              <w:left w:val="single" w:sz="4" w:space="0" w:color="4F81BD"/>
              <w:bottom w:val="single" w:sz="8" w:space="0" w:color="4F81BD"/>
              <w:right w:val="single" w:sz="8" w:space="0" w:color="4F81BD"/>
            </w:tcBorders>
          </w:tcPr>
          <w:p w14:paraId="5607081C" w14:textId="77777777" w:rsidR="005813CB" w:rsidRDefault="006E4310" w:rsidP="00871AE9">
            <w:pPr>
              <w:jc w:val="both"/>
              <w:rPr>
                <w:bCs/>
              </w:rPr>
            </w:pPr>
            <w:r>
              <w:rPr>
                <w:bCs/>
              </w:rPr>
              <w:t>Este</w:t>
            </w:r>
            <w:r w:rsidR="00577C9A" w:rsidRPr="00577C9A">
              <w:rPr>
                <w:bCs/>
              </w:rPr>
              <w:t xml:space="preserve"> beneficio</w:t>
            </w:r>
            <w:r>
              <w:rPr>
                <w:bCs/>
              </w:rPr>
              <w:t xml:space="preserve"> fue</w:t>
            </w:r>
            <w:r w:rsidR="00577C9A" w:rsidRPr="00577C9A">
              <w:rPr>
                <w:bCs/>
              </w:rPr>
              <w:t xml:space="preserve"> ideado en pro de quienes se conviertan en madres y padres, </w:t>
            </w:r>
            <w:r>
              <w:rPr>
                <w:bCs/>
              </w:rPr>
              <w:t>pensando en que así podrán</w:t>
            </w:r>
            <w:r w:rsidR="00577C9A" w:rsidRPr="00577C9A">
              <w:rPr>
                <w:bCs/>
              </w:rPr>
              <w:t xml:space="preserve"> tener más tiempo para disfrutar de este momento especial, y vivirlo con equidad en las responsabilidades.</w:t>
            </w:r>
            <w:r w:rsidR="00540924">
              <w:rPr>
                <w:bCs/>
              </w:rPr>
              <w:t xml:space="preserve"> </w:t>
            </w:r>
            <w:r w:rsidR="00540924" w:rsidRPr="00540924">
              <w:rPr>
                <w:bCs/>
              </w:rPr>
              <w:t>Este beneficio reconoce la diversidad e inclusión garantizando un enfoque equitativo para todo tipo de familias, homoparentales, monoparentales, adoptivas, entre otras.</w:t>
            </w:r>
          </w:p>
          <w:p w14:paraId="19BB2A7C" w14:textId="77777777" w:rsidR="00391663" w:rsidRDefault="00391663" w:rsidP="00871AE9">
            <w:pPr>
              <w:jc w:val="both"/>
              <w:rPr>
                <w:bCs/>
              </w:rPr>
            </w:pPr>
            <w:r>
              <w:rPr>
                <w:bCs/>
              </w:rPr>
              <w:t xml:space="preserve">Esta estrategia </w:t>
            </w:r>
            <w:r w:rsidR="00EA4562">
              <w:rPr>
                <w:bCs/>
              </w:rPr>
              <w:t xml:space="preserve">se planteó así: </w:t>
            </w:r>
            <w:r w:rsidR="00EA4562" w:rsidRPr="00EA4562">
              <w:rPr>
                <w:bCs/>
              </w:rPr>
              <w:t xml:space="preserve">Quienes se conviertan en madres podrán disfrutar este beneficio </w:t>
            </w:r>
            <w:r w:rsidR="00EA4562">
              <w:rPr>
                <w:bCs/>
              </w:rPr>
              <w:t>con</w:t>
            </w:r>
            <w:r w:rsidR="00EA4562" w:rsidRPr="00EA4562">
              <w:rPr>
                <w:bCs/>
              </w:rPr>
              <w:t xml:space="preserve"> una hora menos de la jornada laboral en el octavo y noveno mes de gestación; y una hora menos de jornada laboral durante los tres meses siguientes a la finalización de la licencia de maternidad, adicionales a los tiempos de lactancia para los casos en que aplique. Este beneficio tendrá una regulación especial según </w:t>
            </w:r>
            <w:r w:rsidR="00EA4562">
              <w:rPr>
                <w:bCs/>
              </w:rPr>
              <w:t>la</w:t>
            </w:r>
            <w:r w:rsidR="00EA4562" w:rsidRPr="00EA4562">
              <w:rPr>
                <w:bCs/>
              </w:rPr>
              <w:t xml:space="preserve"> jornada laboral. </w:t>
            </w:r>
          </w:p>
          <w:p w14:paraId="7BFC7B02" w14:textId="0EFB7289" w:rsidR="00E96423" w:rsidRPr="00373E00" w:rsidRDefault="00E96423" w:rsidP="00871AE9">
            <w:pPr>
              <w:jc w:val="both"/>
              <w:rPr>
                <w:bCs/>
              </w:rPr>
            </w:pPr>
            <w:r>
              <w:rPr>
                <w:bCs/>
              </w:rPr>
              <w:t xml:space="preserve">Por su parte, los </w:t>
            </w:r>
            <w:r w:rsidRPr="00E96423">
              <w:rPr>
                <w:bCs/>
              </w:rPr>
              <w:t xml:space="preserve">padres podrán disfrutar de un beneficio en tiempo de hasta 30 días hábiles, adicionales a los días de licencia de paternidad legal. Este beneficio corresponde a la jornada laboral del trabajador durante ese mes. </w:t>
            </w:r>
            <w:r w:rsidR="0029564C">
              <w:rPr>
                <w:bCs/>
              </w:rPr>
              <w:t>Para esta licencia, se vio la necesidad de implementar unos talleres de capacitación para los padres, p</w:t>
            </w:r>
            <w:r w:rsidR="0068329C">
              <w:rPr>
                <w:bCs/>
              </w:rPr>
              <w:t xml:space="preserve">ues muchos no entendían cuál era su rol en el hogar para el cuidado de los hijos, por lo que se optó por dar una capacitación en torno a la paternidad. </w:t>
            </w:r>
          </w:p>
        </w:tc>
      </w:tr>
      <w:tr w:rsidR="00373E00" w:rsidRPr="00373E00" w14:paraId="6D0566EC"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49DF7A89" w14:textId="6BD2C504" w:rsidR="00373E00" w:rsidRPr="00373E00" w:rsidRDefault="00AF67D4" w:rsidP="00373E00">
            <w:pPr>
              <w:jc w:val="center"/>
              <w:rPr>
                <w:b/>
              </w:rPr>
            </w:pPr>
            <w:r>
              <w:rPr>
                <w:b/>
              </w:rPr>
              <w:t>Alianzas existentes en el marco de la experiencia</w:t>
            </w:r>
          </w:p>
        </w:tc>
        <w:tc>
          <w:tcPr>
            <w:tcW w:w="6323" w:type="dxa"/>
            <w:tcBorders>
              <w:top w:val="single" w:sz="8" w:space="0" w:color="4F81BD"/>
              <w:left w:val="single" w:sz="4" w:space="0" w:color="4F81BD"/>
              <w:bottom w:val="single" w:sz="8" w:space="0" w:color="4F81BD"/>
              <w:right w:val="single" w:sz="8" w:space="0" w:color="4F81BD"/>
            </w:tcBorders>
          </w:tcPr>
          <w:p w14:paraId="1D6CABBE" w14:textId="4EDAE364" w:rsidR="00F80566" w:rsidRPr="00373E00" w:rsidRDefault="00862698" w:rsidP="00871AE9">
            <w:pPr>
              <w:jc w:val="both"/>
              <w:rPr>
                <w:bCs/>
              </w:rPr>
            </w:pPr>
            <w:r>
              <w:rPr>
                <w:bCs/>
              </w:rPr>
              <w:t>No hay alianzas establecidas para la implementación de esta estrategia.</w:t>
            </w:r>
          </w:p>
        </w:tc>
      </w:tr>
      <w:tr w:rsidR="00AF67D4" w:rsidRPr="00373E00" w14:paraId="0A1A3016"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04325CB7" w14:textId="08FCD6F6" w:rsidR="00AF67D4" w:rsidRDefault="00AF67D4" w:rsidP="00373E00">
            <w:pPr>
              <w:jc w:val="center"/>
              <w:rPr>
                <w:b/>
              </w:rPr>
            </w:pPr>
            <w:r>
              <w:rPr>
                <w:b/>
              </w:rPr>
              <w:t>Beneficios o resultados obtenidos en la empresa</w:t>
            </w:r>
          </w:p>
        </w:tc>
        <w:tc>
          <w:tcPr>
            <w:tcW w:w="6323" w:type="dxa"/>
            <w:tcBorders>
              <w:top w:val="single" w:sz="8" w:space="0" w:color="4F81BD"/>
              <w:left w:val="single" w:sz="4" w:space="0" w:color="4F81BD"/>
              <w:bottom w:val="single" w:sz="8" w:space="0" w:color="4F81BD"/>
              <w:right w:val="single" w:sz="8" w:space="0" w:color="4F81BD"/>
            </w:tcBorders>
          </w:tcPr>
          <w:p w14:paraId="1B1B8717" w14:textId="7E765F41" w:rsidR="00F60AD3" w:rsidRPr="00373E00" w:rsidRDefault="00900D4D" w:rsidP="00871AE9">
            <w:pPr>
              <w:jc w:val="both"/>
              <w:rPr>
                <w:bCs/>
              </w:rPr>
            </w:pPr>
            <w:r>
              <w:rPr>
                <w:bCs/>
              </w:rPr>
              <w:t xml:space="preserve">Uno de los beneficios más significativos </w:t>
            </w:r>
            <w:r w:rsidR="00E2660C">
              <w:rPr>
                <w:bCs/>
              </w:rPr>
              <w:t>tiene que ver con la contribución que se puede hacer desde Comfama</w:t>
            </w:r>
            <w:r w:rsidR="00EA4562" w:rsidRPr="00EA4562">
              <w:rPr>
                <w:bCs/>
              </w:rPr>
              <w:t xml:space="preserve"> al bienestar de la madre</w:t>
            </w:r>
            <w:r w:rsidR="00D84079">
              <w:rPr>
                <w:bCs/>
              </w:rPr>
              <w:t>, el padre</w:t>
            </w:r>
            <w:r w:rsidR="00EA4562" w:rsidRPr="00EA4562">
              <w:rPr>
                <w:bCs/>
              </w:rPr>
              <w:t xml:space="preserve"> y su bebé promoviendo el fortalecimiento de ese vínculo esencial</w:t>
            </w:r>
            <w:r w:rsidR="00D84079">
              <w:rPr>
                <w:bCs/>
              </w:rPr>
              <w:t xml:space="preserve"> y primario que es la familia.</w:t>
            </w:r>
            <w:r w:rsidR="0029564C">
              <w:rPr>
                <w:bCs/>
              </w:rPr>
              <w:t xml:space="preserve"> </w:t>
            </w:r>
            <w:r w:rsidR="0068329C">
              <w:rPr>
                <w:bCs/>
              </w:rPr>
              <w:t xml:space="preserve">Un resultado de esto tiene que ver con la importancia de la pedagogía, pues muchos padres que accedían a la licencia extendida </w:t>
            </w:r>
            <w:r w:rsidR="00E746A2">
              <w:rPr>
                <w:bCs/>
              </w:rPr>
              <w:t xml:space="preserve">no tenían claro su rol en el cuidado parental, por lo que la licencia se volvía más una carga que una oportunidad. En este contexto, Comfama entendió que era importante </w:t>
            </w:r>
            <w:r w:rsidR="008624B9">
              <w:rPr>
                <w:bCs/>
              </w:rPr>
              <w:t xml:space="preserve">dar </w:t>
            </w:r>
            <w:r w:rsidR="008624B9">
              <w:rPr>
                <w:bCs/>
              </w:rPr>
              <w:lastRenderedPageBreak/>
              <w:t xml:space="preserve">oportunidades de capacitación y pedagógicas, que permitieran aprender nuevas formas de ser hombre y padre en el hogar. </w:t>
            </w:r>
          </w:p>
        </w:tc>
      </w:tr>
      <w:tr w:rsidR="00AF67D4" w:rsidRPr="00373E00" w14:paraId="653EF921"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196A75BC" w14:textId="5CA50B8F" w:rsidR="00AF67D4" w:rsidRDefault="00AF67D4" w:rsidP="00373E00">
            <w:pPr>
              <w:jc w:val="center"/>
              <w:rPr>
                <w:b/>
              </w:rPr>
            </w:pPr>
            <w:r>
              <w:rPr>
                <w:b/>
              </w:rPr>
              <w:lastRenderedPageBreak/>
              <w:t>Acciones de mejora o lecciones aprendidas en el proceso</w:t>
            </w:r>
          </w:p>
        </w:tc>
        <w:tc>
          <w:tcPr>
            <w:tcW w:w="6323" w:type="dxa"/>
            <w:tcBorders>
              <w:top w:val="single" w:sz="8" w:space="0" w:color="4F81BD"/>
              <w:left w:val="single" w:sz="4" w:space="0" w:color="4F81BD"/>
              <w:bottom w:val="single" w:sz="8" w:space="0" w:color="4F81BD"/>
              <w:right w:val="single" w:sz="8" w:space="0" w:color="4F81BD"/>
            </w:tcBorders>
          </w:tcPr>
          <w:p w14:paraId="662E6AD0" w14:textId="77777777" w:rsidR="007D41E0" w:rsidRDefault="0024162D" w:rsidP="00871AE9">
            <w:pPr>
              <w:jc w:val="both"/>
              <w:rPr>
                <w:bCs/>
              </w:rPr>
            </w:pPr>
            <w:r>
              <w:rPr>
                <w:bCs/>
              </w:rPr>
              <w:t xml:space="preserve">Una lección aprendida con esta iniciativa es que, si bien permite enmarcar la conversación en otros entornos y grupos de personas, aún falta mucho por hacer para generar cambios </w:t>
            </w:r>
            <w:r w:rsidRPr="00322493">
              <w:rPr>
                <w:bCs/>
              </w:rPr>
              <w:t xml:space="preserve">de contextos y procesos para cambios </w:t>
            </w:r>
            <w:r>
              <w:rPr>
                <w:bCs/>
              </w:rPr>
              <w:t xml:space="preserve">estructurales. </w:t>
            </w:r>
          </w:p>
          <w:p w14:paraId="243375E8" w14:textId="1486E05D" w:rsidR="002B453A" w:rsidRPr="00373E00" w:rsidRDefault="002B453A" w:rsidP="00871AE9">
            <w:pPr>
              <w:jc w:val="both"/>
              <w:rPr>
                <w:bCs/>
              </w:rPr>
            </w:pPr>
            <w:r>
              <w:rPr>
                <w:bCs/>
              </w:rPr>
              <w:t xml:space="preserve">También es de destacar </w:t>
            </w:r>
            <w:r w:rsidR="00212DCA">
              <w:rPr>
                <w:bCs/>
              </w:rPr>
              <w:t xml:space="preserve">la importancia de las capacitaciones y el enfoque pedagógico, pues la cultura antioqueña no ha permito que los hombres se involucren con el rol del cuidado, por tanto, si no se ofrecen herramientas de preparación los beneficios no serán </w:t>
            </w:r>
            <w:r w:rsidR="00B16256">
              <w:rPr>
                <w:bCs/>
              </w:rPr>
              <w:t xml:space="preserve">utilizados bajo todo su potencial. </w:t>
            </w:r>
          </w:p>
        </w:tc>
      </w:tr>
      <w:tr w:rsidR="00774AF2" w:rsidRPr="00373E00" w14:paraId="29307907"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7DE3769B" w14:textId="5DCAB3AC" w:rsidR="00774AF2" w:rsidRDefault="00774AF2" w:rsidP="00774AF2">
            <w:pPr>
              <w:jc w:val="center"/>
              <w:rPr>
                <w:b/>
              </w:rPr>
            </w:pPr>
            <w:r w:rsidRPr="00AF67D4">
              <w:rPr>
                <w:b/>
              </w:rPr>
              <w:t>¿Existe un proceso de divulgación o socialización de la buena práctica? ¿Cómo se realiza?</w:t>
            </w:r>
          </w:p>
        </w:tc>
        <w:tc>
          <w:tcPr>
            <w:tcW w:w="6323" w:type="dxa"/>
            <w:tcBorders>
              <w:top w:val="single" w:sz="8" w:space="0" w:color="4F81BD"/>
              <w:left w:val="single" w:sz="4" w:space="0" w:color="4F81BD"/>
              <w:bottom w:val="single" w:sz="8" w:space="0" w:color="4F81BD"/>
              <w:right w:val="single" w:sz="8" w:space="0" w:color="4F81BD"/>
            </w:tcBorders>
          </w:tcPr>
          <w:p w14:paraId="1A4A2314" w14:textId="2529D411" w:rsidR="00774AF2" w:rsidRPr="00A7333F" w:rsidRDefault="00AE162E" w:rsidP="00871AE9">
            <w:pPr>
              <w:jc w:val="both"/>
              <w:rPr>
                <w:rFonts w:eastAsia="Times New Roman"/>
                <w:color w:val="201F1E"/>
                <w:lang w:eastAsia="es-MX"/>
              </w:rPr>
            </w:pPr>
            <w:r>
              <w:rPr>
                <w:bCs/>
              </w:rPr>
              <w:t xml:space="preserve">Para la divulgación de esta iniciativa se publican </w:t>
            </w:r>
            <w:r>
              <w:rPr>
                <w:rFonts w:eastAsia="Times New Roman"/>
                <w:color w:val="201F1E"/>
                <w:lang w:eastAsia="es-MX"/>
              </w:rPr>
              <w:t>Boletines internos, vídeos y conferencias abiertas al público y se hace uso del espacio en la revista Comfama.</w:t>
            </w:r>
          </w:p>
        </w:tc>
      </w:tr>
      <w:tr w:rsidR="00774AF2" w:rsidRPr="00373E00" w14:paraId="3C6F2ECB"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3F632289" w14:textId="32C584DA" w:rsidR="00774AF2" w:rsidRPr="00AF67D4" w:rsidRDefault="00774AF2" w:rsidP="00774AF2">
            <w:pPr>
              <w:jc w:val="center"/>
              <w:rPr>
                <w:b/>
              </w:rPr>
            </w:pPr>
            <w:r>
              <w:rPr>
                <w:b/>
                <w:lang w:val="es-ES"/>
              </w:rPr>
              <w:t>D</w:t>
            </w:r>
            <w:r w:rsidRPr="00AF67D4">
              <w:rPr>
                <w:b/>
              </w:rPr>
              <w:t>e ser replicable la experiencia ¿Cuáles son los criterios de replicabilidad? ¿Quiénes pueden hacerlo?</w:t>
            </w:r>
          </w:p>
        </w:tc>
        <w:tc>
          <w:tcPr>
            <w:tcW w:w="6323" w:type="dxa"/>
            <w:tcBorders>
              <w:top w:val="single" w:sz="8" w:space="0" w:color="4F81BD"/>
              <w:left w:val="single" w:sz="4" w:space="0" w:color="4F81BD"/>
              <w:bottom w:val="single" w:sz="8" w:space="0" w:color="4F81BD"/>
              <w:right w:val="single" w:sz="8" w:space="0" w:color="4F81BD"/>
            </w:tcBorders>
          </w:tcPr>
          <w:p w14:paraId="5930B3D1" w14:textId="42B78DAC" w:rsidR="00774AF2" w:rsidRPr="00373E00" w:rsidRDefault="00815E5C" w:rsidP="00871AE9">
            <w:pPr>
              <w:jc w:val="both"/>
              <w:rPr>
                <w:bCs/>
              </w:rPr>
            </w:pPr>
            <w:r>
              <w:rPr>
                <w:bCs/>
              </w:rPr>
              <w:t>Uno de los criterios más importante es que haya un compromiso general de la empresa y la junta directiva, que haya un cuestionamiento interno que busque cambiar las realidades organizacionales y, así genere una reflexión interna.</w:t>
            </w:r>
          </w:p>
        </w:tc>
      </w:tr>
    </w:tbl>
    <w:p w14:paraId="51339868" w14:textId="77777777" w:rsidR="00373E00" w:rsidRPr="00373E00" w:rsidRDefault="00373E00" w:rsidP="00324C94">
      <w:pPr>
        <w:rPr>
          <w:lang w:val="es-ES"/>
        </w:rPr>
      </w:pPr>
    </w:p>
    <w:sectPr w:rsidR="00373E00" w:rsidRPr="00373E00" w:rsidSect="00357BF3">
      <w:footerReference w:type="default" r:id="rId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F8F1" w14:textId="77777777" w:rsidR="00774D5A" w:rsidRDefault="00774D5A" w:rsidP="00373E00">
      <w:r>
        <w:separator/>
      </w:r>
    </w:p>
  </w:endnote>
  <w:endnote w:type="continuationSeparator" w:id="0">
    <w:p w14:paraId="62369118" w14:textId="77777777" w:rsidR="00774D5A" w:rsidRDefault="00774D5A" w:rsidP="0037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5F65" w14:textId="41D1235C" w:rsidR="00373E00" w:rsidRDefault="00373E00" w:rsidP="00373E00">
    <w:pPr>
      <w:pStyle w:val="Piedepgina"/>
      <w:jc w:val="right"/>
    </w:pPr>
    <w:r>
      <w:rPr>
        <w:noProof/>
        <w:lang w:eastAsia="es-CO"/>
      </w:rPr>
      <w:drawing>
        <wp:inline distT="0" distB="0" distL="0" distR="0" wp14:anchorId="527461F5" wp14:editId="55DEE273">
          <wp:extent cx="889000" cy="8890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r>
      <w:rPr>
        <w:noProof/>
        <w:lang w:eastAsia="es-CO"/>
      </w:rPr>
      <w:drawing>
        <wp:inline distT="0" distB="0" distL="0" distR="0" wp14:anchorId="6333BBB4" wp14:editId="52B4E346">
          <wp:extent cx="914400" cy="914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noProof/>
        <w:lang w:eastAsia="es-CO"/>
      </w:rPr>
      <w:drawing>
        <wp:inline distT="0" distB="0" distL="0" distR="0" wp14:anchorId="0F4647FB" wp14:editId="16442D92">
          <wp:extent cx="1333500" cy="887924"/>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4168" cy="9150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C695D" w14:textId="77777777" w:rsidR="00774D5A" w:rsidRDefault="00774D5A" w:rsidP="00373E00">
      <w:r>
        <w:separator/>
      </w:r>
    </w:p>
  </w:footnote>
  <w:footnote w:type="continuationSeparator" w:id="0">
    <w:p w14:paraId="5CDF7383" w14:textId="77777777" w:rsidR="00774D5A" w:rsidRDefault="00774D5A" w:rsidP="00373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00"/>
    <w:rsid w:val="0000026F"/>
    <w:rsid w:val="00003166"/>
    <w:rsid w:val="00007692"/>
    <w:rsid w:val="0001515F"/>
    <w:rsid w:val="0002202D"/>
    <w:rsid w:val="000363D2"/>
    <w:rsid w:val="00040010"/>
    <w:rsid w:val="000429B3"/>
    <w:rsid w:val="00050E0B"/>
    <w:rsid w:val="00053013"/>
    <w:rsid w:val="00053B86"/>
    <w:rsid w:val="00054914"/>
    <w:rsid w:val="00064225"/>
    <w:rsid w:val="00065C73"/>
    <w:rsid w:val="00082172"/>
    <w:rsid w:val="0008235C"/>
    <w:rsid w:val="000877B8"/>
    <w:rsid w:val="000B0BC3"/>
    <w:rsid w:val="000B7F19"/>
    <w:rsid w:val="000C4E19"/>
    <w:rsid w:val="000C4EF7"/>
    <w:rsid w:val="000C70AE"/>
    <w:rsid w:val="000E6873"/>
    <w:rsid w:val="000E6F44"/>
    <w:rsid w:val="000F187D"/>
    <w:rsid w:val="000F20D8"/>
    <w:rsid w:val="00103872"/>
    <w:rsid w:val="00124FB4"/>
    <w:rsid w:val="00136E28"/>
    <w:rsid w:val="00145844"/>
    <w:rsid w:val="00162AAA"/>
    <w:rsid w:val="00175ADC"/>
    <w:rsid w:val="001A1B80"/>
    <w:rsid w:val="001D09A5"/>
    <w:rsid w:val="001D16EF"/>
    <w:rsid w:val="001D3631"/>
    <w:rsid w:val="001F0524"/>
    <w:rsid w:val="001F2461"/>
    <w:rsid w:val="001F4EBC"/>
    <w:rsid w:val="001F5DDC"/>
    <w:rsid w:val="0020546A"/>
    <w:rsid w:val="00207285"/>
    <w:rsid w:val="00210976"/>
    <w:rsid w:val="00212DCA"/>
    <w:rsid w:val="002206F7"/>
    <w:rsid w:val="00222E1E"/>
    <w:rsid w:val="002269FB"/>
    <w:rsid w:val="00232498"/>
    <w:rsid w:val="0024162D"/>
    <w:rsid w:val="0024767B"/>
    <w:rsid w:val="002502A0"/>
    <w:rsid w:val="00254BF3"/>
    <w:rsid w:val="00254E36"/>
    <w:rsid w:val="00255C00"/>
    <w:rsid w:val="00283EA6"/>
    <w:rsid w:val="00286478"/>
    <w:rsid w:val="00290E5E"/>
    <w:rsid w:val="002923C6"/>
    <w:rsid w:val="00294DC7"/>
    <w:rsid w:val="0029564C"/>
    <w:rsid w:val="00296009"/>
    <w:rsid w:val="002B453A"/>
    <w:rsid w:val="002C0024"/>
    <w:rsid w:val="002C0DD8"/>
    <w:rsid w:val="002C4098"/>
    <w:rsid w:val="002D40D0"/>
    <w:rsid w:val="002D4198"/>
    <w:rsid w:val="002E222A"/>
    <w:rsid w:val="002E3DE9"/>
    <w:rsid w:val="002E6B31"/>
    <w:rsid w:val="002E7017"/>
    <w:rsid w:val="002F7FAA"/>
    <w:rsid w:val="003017FA"/>
    <w:rsid w:val="003171C5"/>
    <w:rsid w:val="00322493"/>
    <w:rsid w:val="0032249E"/>
    <w:rsid w:val="003241A6"/>
    <w:rsid w:val="00324C94"/>
    <w:rsid w:val="00357BF3"/>
    <w:rsid w:val="003616D1"/>
    <w:rsid w:val="0037057A"/>
    <w:rsid w:val="00373E00"/>
    <w:rsid w:val="003814AC"/>
    <w:rsid w:val="00391663"/>
    <w:rsid w:val="00396868"/>
    <w:rsid w:val="003A713D"/>
    <w:rsid w:val="003C013A"/>
    <w:rsid w:val="003D18C3"/>
    <w:rsid w:val="003D4B2D"/>
    <w:rsid w:val="003D7CFA"/>
    <w:rsid w:val="003E1879"/>
    <w:rsid w:val="00400AA5"/>
    <w:rsid w:val="00420BA1"/>
    <w:rsid w:val="00421618"/>
    <w:rsid w:val="004317AF"/>
    <w:rsid w:val="00436960"/>
    <w:rsid w:val="00443063"/>
    <w:rsid w:val="00450103"/>
    <w:rsid w:val="00456D25"/>
    <w:rsid w:val="00465892"/>
    <w:rsid w:val="0046697F"/>
    <w:rsid w:val="004832BA"/>
    <w:rsid w:val="004A4A40"/>
    <w:rsid w:val="004C201B"/>
    <w:rsid w:val="004D0AF6"/>
    <w:rsid w:val="004D5F05"/>
    <w:rsid w:val="004E65B0"/>
    <w:rsid w:val="004F685B"/>
    <w:rsid w:val="005175F8"/>
    <w:rsid w:val="00540924"/>
    <w:rsid w:val="00547A9E"/>
    <w:rsid w:val="00565962"/>
    <w:rsid w:val="00565C35"/>
    <w:rsid w:val="00566416"/>
    <w:rsid w:val="005666A5"/>
    <w:rsid w:val="00566D47"/>
    <w:rsid w:val="00577C9A"/>
    <w:rsid w:val="005813CB"/>
    <w:rsid w:val="00594D26"/>
    <w:rsid w:val="00595DE2"/>
    <w:rsid w:val="005C5244"/>
    <w:rsid w:val="00604A10"/>
    <w:rsid w:val="006137A9"/>
    <w:rsid w:val="006303DB"/>
    <w:rsid w:val="006424FE"/>
    <w:rsid w:val="0064458F"/>
    <w:rsid w:val="006541B4"/>
    <w:rsid w:val="00660405"/>
    <w:rsid w:val="006638BB"/>
    <w:rsid w:val="0068329C"/>
    <w:rsid w:val="006C5735"/>
    <w:rsid w:val="006D194F"/>
    <w:rsid w:val="006D41E6"/>
    <w:rsid w:val="006E18F4"/>
    <w:rsid w:val="006E4310"/>
    <w:rsid w:val="006E5538"/>
    <w:rsid w:val="006E7986"/>
    <w:rsid w:val="006F703C"/>
    <w:rsid w:val="00717BB5"/>
    <w:rsid w:val="007209B7"/>
    <w:rsid w:val="00720EB6"/>
    <w:rsid w:val="00727F84"/>
    <w:rsid w:val="00733FAA"/>
    <w:rsid w:val="007518ED"/>
    <w:rsid w:val="007715AA"/>
    <w:rsid w:val="00774AF2"/>
    <w:rsid w:val="00774D5A"/>
    <w:rsid w:val="00775965"/>
    <w:rsid w:val="00776BA1"/>
    <w:rsid w:val="007A61D3"/>
    <w:rsid w:val="007B0B6F"/>
    <w:rsid w:val="007B231E"/>
    <w:rsid w:val="007D0D0C"/>
    <w:rsid w:val="007D41E0"/>
    <w:rsid w:val="007E4E01"/>
    <w:rsid w:val="007E769D"/>
    <w:rsid w:val="00801731"/>
    <w:rsid w:val="0080693A"/>
    <w:rsid w:val="00806FC2"/>
    <w:rsid w:val="00815E5C"/>
    <w:rsid w:val="00824D70"/>
    <w:rsid w:val="008474F2"/>
    <w:rsid w:val="008624B9"/>
    <w:rsid w:val="00862698"/>
    <w:rsid w:val="00866EC7"/>
    <w:rsid w:val="00871AE9"/>
    <w:rsid w:val="00875E48"/>
    <w:rsid w:val="00883757"/>
    <w:rsid w:val="00893AF7"/>
    <w:rsid w:val="00896855"/>
    <w:rsid w:val="008A0086"/>
    <w:rsid w:val="008A4817"/>
    <w:rsid w:val="008A6C9C"/>
    <w:rsid w:val="008B28F1"/>
    <w:rsid w:val="008B2CAD"/>
    <w:rsid w:val="008B4577"/>
    <w:rsid w:val="008C09ED"/>
    <w:rsid w:val="008C30A4"/>
    <w:rsid w:val="008E37A4"/>
    <w:rsid w:val="008F04A8"/>
    <w:rsid w:val="00900D4D"/>
    <w:rsid w:val="009025F2"/>
    <w:rsid w:val="009041E5"/>
    <w:rsid w:val="009053A5"/>
    <w:rsid w:val="009255EF"/>
    <w:rsid w:val="0092567E"/>
    <w:rsid w:val="009307C1"/>
    <w:rsid w:val="00930DA3"/>
    <w:rsid w:val="00931122"/>
    <w:rsid w:val="009472F2"/>
    <w:rsid w:val="00953E5F"/>
    <w:rsid w:val="009604EE"/>
    <w:rsid w:val="009653E3"/>
    <w:rsid w:val="00965D5E"/>
    <w:rsid w:val="00966548"/>
    <w:rsid w:val="00966E27"/>
    <w:rsid w:val="009812E8"/>
    <w:rsid w:val="00987552"/>
    <w:rsid w:val="00997D40"/>
    <w:rsid w:val="009A0042"/>
    <w:rsid w:val="009A147E"/>
    <w:rsid w:val="009A3D4F"/>
    <w:rsid w:val="009A4868"/>
    <w:rsid w:val="009B1DFA"/>
    <w:rsid w:val="009D24A8"/>
    <w:rsid w:val="009D52AB"/>
    <w:rsid w:val="009D6B39"/>
    <w:rsid w:val="009E17DE"/>
    <w:rsid w:val="009E4127"/>
    <w:rsid w:val="009F1C87"/>
    <w:rsid w:val="00A00E1D"/>
    <w:rsid w:val="00A0275B"/>
    <w:rsid w:val="00A06190"/>
    <w:rsid w:val="00A10BF0"/>
    <w:rsid w:val="00A16A66"/>
    <w:rsid w:val="00A264A0"/>
    <w:rsid w:val="00A267A2"/>
    <w:rsid w:val="00A45782"/>
    <w:rsid w:val="00A45D9D"/>
    <w:rsid w:val="00A56E29"/>
    <w:rsid w:val="00A60485"/>
    <w:rsid w:val="00A645A7"/>
    <w:rsid w:val="00A70F9E"/>
    <w:rsid w:val="00A7333F"/>
    <w:rsid w:val="00A772A4"/>
    <w:rsid w:val="00A84B80"/>
    <w:rsid w:val="00A925BD"/>
    <w:rsid w:val="00A95B80"/>
    <w:rsid w:val="00AA00E5"/>
    <w:rsid w:val="00AA3C1D"/>
    <w:rsid w:val="00AB21C6"/>
    <w:rsid w:val="00AB50E1"/>
    <w:rsid w:val="00AC012E"/>
    <w:rsid w:val="00AC1641"/>
    <w:rsid w:val="00AC2918"/>
    <w:rsid w:val="00AC4C9E"/>
    <w:rsid w:val="00AC6A78"/>
    <w:rsid w:val="00AD218A"/>
    <w:rsid w:val="00AE0BCD"/>
    <w:rsid w:val="00AE162E"/>
    <w:rsid w:val="00AE31AA"/>
    <w:rsid w:val="00AE6002"/>
    <w:rsid w:val="00AF67D4"/>
    <w:rsid w:val="00B014E1"/>
    <w:rsid w:val="00B06121"/>
    <w:rsid w:val="00B06AF1"/>
    <w:rsid w:val="00B16256"/>
    <w:rsid w:val="00B20595"/>
    <w:rsid w:val="00B46A76"/>
    <w:rsid w:val="00B631DB"/>
    <w:rsid w:val="00B65606"/>
    <w:rsid w:val="00B65F00"/>
    <w:rsid w:val="00B67A22"/>
    <w:rsid w:val="00B72AED"/>
    <w:rsid w:val="00BB7890"/>
    <w:rsid w:val="00BD5EED"/>
    <w:rsid w:val="00BE620C"/>
    <w:rsid w:val="00BF26B4"/>
    <w:rsid w:val="00C02493"/>
    <w:rsid w:val="00C02D66"/>
    <w:rsid w:val="00C06B88"/>
    <w:rsid w:val="00C10F2B"/>
    <w:rsid w:val="00C11EF3"/>
    <w:rsid w:val="00C23EA6"/>
    <w:rsid w:val="00C23F15"/>
    <w:rsid w:val="00C24FDD"/>
    <w:rsid w:val="00C257D2"/>
    <w:rsid w:val="00C404BB"/>
    <w:rsid w:val="00C418D8"/>
    <w:rsid w:val="00C42E40"/>
    <w:rsid w:val="00C530E7"/>
    <w:rsid w:val="00C57892"/>
    <w:rsid w:val="00C63D5E"/>
    <w:rsid w:val="00C652F3"/>
    <w:rsid w:val="00C67065"/>
    <w:rsid w:val="00C81AD8"/>
    <w:rsid w:val="00C86372"/>
    <w:rsid w:val="00C90402"/>
    <w:rsid w:val="00C924FA"/>
    <w:rsid w:val="00CA02E7"/>
    <w:rsid w:val="00CA3020"/>
    <w:rsid w:val="00CA62FD"/>
    <w:rsid w:val="00D06132"/>
    <w:rsid w:val="00D06AE5"/>
    <w:rsid w:val="00D103D0"/>
    <w:rsid w:val="00D116FB"/>
    <w:rsid w:val="00D35CE3"/>
    <w:rsid w:val="00D427E0"/>
    <w:rsid w:val="00D73097"/>
    <w:rsid w:val="00D83FD5"/>
    <w:rsid w:val="00D84079"/>
    <w:rsid w:val="00D86E9C"/>
    <w:rsid w:val="00D926E0"/>
    <w:rsid w:val="00D97891"/>
    <w:rsid w:val="00DA27AB"/>
    <w:rsid w:val="00DC2E40"/>
    <w:rsid w:val="00DC5226"/>
    <w:rsid w:val="00DE0F77"/>
    <w:rsid w:val="00DE49DC"/>
    <w:rsid w:val="00DE5D5E"/>
    <w:rsid w:val="00DF0B56"/>
    <w:rsid w:val="00DF122F"/>
    <w:rsid w:val="00E00253"/>
    <w:rsid w:val="00E02475"/>
    <w:rsid w:val="00E0750A"/>
    <w:rsid w:val="00E107F4"/>
    <w:rsid w:val="00E25F0E"/>
    <w:rsid w:val="00E2660C"/>
    <w:rsid w:val="00E30CA4"/>
    <w:rsid w:val="00E364FC"/>
    <w:rsid w:val="00E42910"/>
    <w:rsid w:val="00E42B7F"/>
    <w:rsid w:val="00E55984"/>
    <w:rsid w:val="00E572D9"/>
    <w:rsid w:val="00E57D55"/>
    <w:rsid w:val="00E63BB1"/>
    <w:rsid w:val="00E746A2"/>
    <w:rsid w:val="00E873A0"/>
    <w:rsid w:val="00E95458"/>
    <w:rsid w:val="00E96423"/>
    <w:rsid w:val="00EA4562"/>
    <w:rsid w:val="00EC3515"/>
    <w:rsid w:val="00ED7C9E"/>
    <w:rsid w:val="00EF1CC0"/>
    <w:rsid w:val="00F05824"/>
    <w:rsid w:val="00F1158C"/>
    <w:rsid w:val="00F17715"/>
    <w:rsid w:val="00F20C43"/>
    <w:rsid w:val="00F20DDF"/>
    <w:rsid w:val="00F24CF0"/>
    <w:rsid w:val="00F404AD"/>
    <w:rsid w:val="00F434DC"/>
    <w:rsid w:val="00F53C54"/>
    <w:rsid w:val="00F57816"/>
    <w:rsid w:val="00F60AD3"/>
    <w:rsid w:val="00F6569D"/>
    <w:rsid w:val="00F657C5"/>
    <w:rsid w:val="00F75A3E"/>
    <w:rsid w:val="00F75D68"/>
    <w:rsid w:val="00F80566"/>
    <w:rsid w:val="00F90A01"/>
    <w:rsid w:val="00F927A9"/>
    <w:rsid w:val="00F93698"/>
    <w:rsid w:val="00FA3509"/>
    <w:rsid w:val="00FA719D"/>
    <w:rsid w:val="00FB1011"/>
    <w:rsid w:val="00FD38CA"/>
    <w:rsid w:val="00FD690F"/>
    <w:rsid w:val="00FE2113"/>
    <w:rsid w:val="00FE2C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82A0"/>
  <w15:chartTrackingRefBased/>
  <w15:docId w15:val="{62B37913-0D70-FE4B-BBDC-178DE09A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E00"/>
    <w:pPr>
      <w:tabs>
        <w:tab w:val="center" w:pos="4419"/>
        <w:tab w:val="right" w:pos="8838"/>
      </w:tabs>
    </w:pPr>
  </w:style>
  <w:style w:type="character" w:customStyle="1" w:styleId="EncabezadoCar">
    <w:name w:val="Encabezado Car"/>
    <w:basedOn w:val="Fuentedeprrafopredeter"/>
    <w:link w:val="Encabezado"/>
    <w:uiPriority w:val="99"/>
    <w:rsid w:val="00373E00"/>
  </w:style>
  <w:style w:type="paragraph" w:styleId="Piedepgina">
    <w:name w:val="footer"/>
    <w:basedOn w:val="Normal"/>
    <w:link w:val="PiedepginaCar"/>
    <w:uiPriority w:val="99"/>
    <w:unhideWhenUsed/>
    <w:rsid w:val="00373E00"/>
    <w:pPr>
      <w:tabs>
        <w:tab w:val="center" w:pos="4419"/>
        <w:tab w:val="right" w:pos="8838"/>
      </w:tabs>
    </w:pPr>
  </w:style>
  <w:style w:type="character" w:customStyle="1" w:styleId="PiedepginaCar">
    <w:name w:val="Pie de página Car"/>
    <w:basedOn w:val="Fuentedeprrafopredeter"/>
    <w:link w:val="Piedepgina"/>
    <w:uiPriority w:val="99"/>
    <w:rsid w:val="00373E00"/>
  </w:style>
  <w:style w:type="character" w:styleId="Hipervnculo">
    <w:name w:val="Hyperlink"/>
    <w:basedOn w:val="Fuentedeprrafopredeter"/>
    <w:uiPriority w:val="99"/>
    <w:unhideWhenUsed/>
    <w:rsid w:val="00E873A0"/>
    <w:rPr>
      <w:color w:val="0563C1" w:themeColor="hyperlink"/>
      <w:u w:val="single"/>
    </w:rPr>
  </w:style>
  <w:style w:type="character" w:customStyle="1" w:styleId="Mencinsinresolver1">
    <w:name w:val="Mención sin resolver1"/>
    <w:basedOn w:val="Fuentedeprrafopredeter"/>
    <w:uiPriority w:val="99"/>
    <w:semiHidden/>
    <w:unhideWhenUsed/>
    <w:rsid w:val="00E87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9151">
      <w:bodyDiv w:val="1"/>
      <w:marLeft w:val="0"/>
      <w:marRight w:val="0"/>
      <w:marTop w:val="0"/>
      <w:marBottom w:val="0"/>
      <w:divBdr>
        <w:top w:val="none" w:sz="0" w:space="0" w:color="auto"/>
        <w:left w:val="none" w:sz="0" w:space="0" w:color="auto"/>
        <w:bottom w:val="none" w:sz="0" w:space="0" w:color="auto"/>
        <w:right w:val="none" w:sz="0" w:space="0" w:color="auto"/>
      </w:divBdr>
    </w:div>
    <w:div w:id="382170503">
      <w:bodyDiv w:val="1"/>
      <w:marLeft w:val="0"/>
      <w:marRight w:val="0"/>
      <w:marTop w:val="0"/>
      <w:marBottom w:val="0"/>
      <w:divBdr>
        <w:top w:val="none" w:sz="0" w:space="0" w:color="auto"/>
        <w:left w:val="none" w:sz="0" w:space="0" w:color="auto"/>
        <w:bottom w:val="none" w:sz="0" w:space="0" w:color="auto"/>
        <w:right w:val="none" w:sz="0" w:space="0" w:color="auto"/>
      </w:divBdr>
    </w:div>
    <w:div w:id="644819226">
      <w:bodyDiv w:val="1"/>
      <w:marLeft w:val="0"/>
      <w:marRight w:val="0"/>
      <w:marTop w:val="0"/>
      <w:marBottom w:val="0"/>
      <w:divBdr>
        <w:top w:val="none" w:sz="0" w:space="0" w:color="auto"/>
        <w:left w:val="none" w:sz="0" w:space="0" w:color="auto"/>
        <w:bottom w:val="none" w:sz="0" w:space="0" w:color="auto"/>
        <w:right w:val="none" w:sz="0" w:space="0" w:color="auto"/>
      </w:divBdr>
    </w:div>
    <w:div w:id="728114240">
      <w:bodyDiv w:val="1"/>
      <w:marLeft w:val="0"/>
      <w:marRight w:val="0"/>
      <w:marTop w:val="0"/>
      <w:marBottom w:val="0"/>
      <w:divBdr>
        <w:top w:val="none" w:sz="0" w:space="0" w:color="auto"/>
        <w:left w:val="none" w:sz="0" w:space="0" w:color="auto"/>
        <w:bottom w:val="none" w:sz="0" w:space="0" w:color="auto"/>
        <w:right w:val="none" w:sz="0" w:space="0" w:color="auto"/>
      </w:divBdr>
    </w:div>
    <w:div w:id="838424333">
      <w:bodyDiv w:val="1"/>
      <w:marLeft w:val="0"/>
      <w:marRight w:val="0"/>
      <w:marTop w:val="0"/>
      <w:marBottom w:val="0"/>
      <w:divBdr>
        <w:top w:val="none" w:sz="0" w:space="0" w:color="auto"/>
        <w:left w:val="none" w:sz="0" w:space="0" w:color="auto"/>
        <w:bottom w:val="none" w:sz="0" w:space="0" w:color="auto"/>
        <w:right w:val="none" w:sz="0" w:space="0" w:color="auto"/>
      </w:divBdr>
    </w:div>
    <w:div w:id="187885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3</Pages>
  <Words>857</Words>
  <Characters>4715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Paola Rojas Bermeo</dc:creator>
  <cp:keywords/>
  <dc:description/>
  <cp:lastModifiedBy>Diana Paola Rojas Bermeo</cp:lastModifiedBy>
  <cp:revision>339</cp:revision>
  <dcterms:created xsi:type="dcterms:W3CDTF">2021-08-14T00:22:00Z</dcterms:created>
  <dcterms:modified xsi:type="dcterms:W3CDTF">2021-10-05T17:16:00Z</dcterms:modified>
</cp:coreProperties>
</file>